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bookmarkStart w:id="0" w:name="__DdeLink__2824_1961196862"/>
      <w:bookmarkEnd w:id="0"/>
      <w:r>
        <w:rPr>
          <w:rFonts w:ascii="Tms Rmn" w:hAnsi="Tms Rmn"/>
          <w:b/>
          <w:color w:val="000000"/>
          <w:sz w:val="36"/>
          <w:szCs w:val="36"/>
        </w:rPr>
        <w:t>Изменился период для расчета накопительной пенсии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Граждане, у которых формируются средства пенсионных накоплений, могут обратиться за их выплатой, не дожидаясь назначения страховой пенсии по старости: женщины при достижении возраста 55 лет и мужчины при достижении возраста 60 лет. Средства можно получить либо в виде единовременной выплаты, либо срочной пенсионной выплаты или в виде накопительной пенсии, которая выплачивается пожизненно в зависимости от поступивших накоплений.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Для расчета ежемесячной выплаты общая сумма пенсионных накоплений гражданина делится на период расчета накопительной пенсии.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С 1 января 2020 года период, используемый для расчета накопительной пенсии, составляет 258 месяцев.  Он ежегодно меняется, например, в прошлом году был 252 месяца.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Размер накопительной пенсии может ежегодно корректироваться с учетом поступивших взносов. Корректировка производится с 1 августа в беззаявительном порядке. Ее результаты зависят от поступления на лицевые счета граждан средств пенсионных накоплений, которые ранее не были учтены (например, появились вновь при уплате дополнительных страховых взносов), и от результатов их инвестирования.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Заявление на установление пенсии можно подать, не выходя из дома – в электронном виде через Личный кабинет на сайте ПФР или портал госуслуг. Если гражданин формирует свои пенсионные накопления через негосударственный пенсионный фонд, то данное заявление подается в соответствующий НПФ.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2020-01-30T10:59:53Z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